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29" w:rsidRPr="00686477" w:rsidRDefault="000B6629" w:rsidP="000B6629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</w:pPr>
      <w:r w:rsidRPr="00686477"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  <w:t>счетная палата Оренбургской области</w:t>
      </w:r>
    </w:p>
    <w:p w:rsidR="000B6629" w:rsidRPr="00686477" w:rsidRDefault="00D20BA0" w:rsidP="000B6629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pict>
          <v:line id="_x0000_s1026" style="position:absolute;left:0;text-align:left;flip:y;z-index:251658240" from="0,2.95pt" to="468pt,2.95pt" strokeweight="2.75pt">
            <v:stroke startarrowwidth="narrow" startarrowlength="short" endarrowwidth="narrow" endarrowlength="short" linestyle="thickThin"/>
          </v:line>
        </w:pict>
      </w:r>
    </w:p>
    <w:p w:rsidR="000B6629" w:rsidRPr="00686477" w:rsidRDefault="000B6629" w:rsidP="000B662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B6629" w:rsidRPr="00686477" w:rsidRDefault="000B6629" w:rsidP="000B6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</w:pP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18 ноября 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20</w:t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года </w:t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6864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№ 1-23/</w:t>
      </w:r>
      <w:r w:rsidR="000956C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71</w:t>
      </w: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6477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t xml:space="preserve">Счетной палаты Оренбургской области о результатах экспертно-аналитического мероприятия «Экспертиза проекта закона Оренбургской области от </w:t>
      </w:r>
      <w:r w:rsidRPr="0046708B">
        <w:rPr>
          <w:rFonts w:ascii="Times New Roman" w:eastAsia="Times New Roman" w:hAnsi="Times New Roman" w:cs="Times New Roman"/>
          <w:b/>
          <w:sz w:val="28"/>
          <w:szCs w:val="28"/>
        </w:rPr>
        <w:t>30.10.2020 № 215/4268-20</w:t>
      </w: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t xml:space="preserve"> «Об областном бюджете 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t> год и на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годов»</w:t>
      </w:r>
      <w:r w:rsidRPr="0068647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6477">
        <w:rPr>
          <w:rFonts w:ascii="Times New Roman" w:eastAsia="Times New Roman" w:hAnsi="Times New Roman" w:cs="Times New Roman"/>
          <w:bCs/>
          <w:i/>
          <w:sz w:val="28"/>
          <w:szCs w:val="28"/>
        </w:rPr>
        <w:t>(Утверждено постановлением Коллегии Счетной палаты Оренбургской области от 18 ноября 20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20</w:t>
      </w:r>
      <w:r w:rsidRPr="006864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года </w:t>
      </w:r>
      <w:r w:rsidRPr="00686477">
        <w:rPr>
          <w:rFonts w:ascii="Times New Roman" w:eastAsia="Times New Roman" w:hAnsi="Times New Roman" w:cs="Times New Roman"/>
          <w:i/>
          <w:sz w:val="28"/>
          <w:szCs w:val="28"/>
        </w:rPr>
        <w:t xml:space="preserve">№ </w:t>
      </w:r>
      <w:r w:rsidR="000956C6">
        <w:rPr>
          <w:rFonts w:ascii="Times New Roman" w:eastAsia="Times New Roman" w:hAnsi="Times New Roman" w:cs="Times New Roman"/>
          <w:i/>
          <w:sz w:val="28"/>
          <w:szCs w:val="28"/>
        </w:rPr>
        <w:t>99</w:t>
      </w:r>
      <w:r w:rsidRPr="00686477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6629" w:rsidRPr="00686477" w:rsidRDefault="000B6629" w:rsidP="000B662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4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9781" w:type="dxa"/>
        <w:tblInd w:w="-34" w:type="dxa"/>
        <w:tblLayout w:type="fixed"/>
        <w:tblLook w:val="01E0"/>
      </w:tblPr>
      <w:tblGrid>
        <w:gridCol w:w="8789"/>
        <w:gridCol w:w="284"/>
        <w:gridCol w:w="708"/>
      </w:tblGrid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864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Заключение Счетной палаты Оренбургской области о результатах экспертно-аналитического мероприятия «Экспертиза проекта закона Оренбургской области от</w:t>
            </w:r>
            <w:r w:rsidRPr="006864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2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30.10.2020 № 215/4268-20 «</w:t>
            </w:r>
            <w:r w:rsidRPr="006864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 областном бюджете на 202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6864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 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68647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864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6864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годов»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6D2FAD" w:rsidTr="0096171D">
        <w:trPr>
          <w:trHeight w:val="327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6629" w:rsidRPr="006D2FAD" w:rsidTr="0096171D">
        <w:trPr>
          <w:trHeight w:val="327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hAnsi="Times New Roman" w:cs="Times New Roman"/>
                <w:sz w:val="28"/>
                <w:szCs w:val="28"/>
              </w:rPr>
              <w:t>Прогноз основных характеристик областного бюджета на 2021 год и на плановый период 2022 и 2023 годов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ОБЛАСТНОГО БЮДЖЕТА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393BAF" w:rsidP="00B9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hAnsi="Times New Roman"/>
                <w:sz w:val="28"/>
                <w:szCs w:val="24"/>
              </w:rPr>
              <w:t xml:space="preserve">      Налоги на товары (работы, услуги), реализуемые на территории Российской Федерации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977DB" w:rsidRPr="006D2FAD" w:rsidTr="0096171D">
        <w:trPr>
          <w:trHeight w:val="20"/>
        </w:trPr>
        <w:tc>
          <w:tcPr>
            <w:tcW w:w="8789" w:type="dxa"/>
            <w:hideMark/>
          </w:tcPr>
          <w:p w:rsidR="00B977DB" w:rsidRPr="006D2FAD" w:rsidRDefault="00B977DB" w:rsidP="00B97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6D2FAD">
              <w:rPr>
                <w:rFonts w:ascii="Times New Roman" w:hAnsi="Times New Roman"/>
                <w:sz w:val="28"/>
                <w:szCs w:val="28"/>
              </w:rPr>
              <w:t xml:space="preserve">       Налоги на совокупный доход</w:t>
            </w:r>
          </w:p>
        </w:tc>
        <w:tc>
          <w:tcPr>
            <w:tcW w:w="284" w:type="dxa"/>
          </w:tcPr>
          <w:p w:rsidR="00B977DB" w:rsidRPr="006D2FAD" w:rsidRDefault="00B977DB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B977DB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B977D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B977D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B6629" w:rsidRPr="006D2FAD" w:rsidTr="0096171D">
        <w:trPr>
          <w:trHeight w:val="356"/>
        </w:trPr>
        <w:tc>
          <w:tcPr>
            <w:tcW w:w="8789" w:type="dxa"/>
            <w:vAlign w:val="bottom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Неналоговые доходы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0B6629" w:rsidRPr="006D2FAD" w:rsidTr="0096171D">
        <w:trPr>
          <w:trHeight w:val="356"/>
        </w:trPr>
        <w:tc>
          <w:tcPr>
            <w:tcW w:w="8789" w:type="dxa"/>
            <w:vAlign w:val="bottom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52D09" w:rsidRPr="006D2FAD" w:rsidTr="0096171D">
        <w:trPr>
          <w:trHeight w:val="356"/>
        </w:trPr>
        <w:tc>
          <w:tcPr>
            <w:tcW w:w="8789" w:type="dxa"/>
            <w:vAlign w:val="bottom"/>
            <w:hideMark/>
          </w:tcPr>
          <w:p w:rsidR="00552D09" w:rsidRPr="006D2FAD" w:rsidRDefault="00552D09" w:rsidP="00393BAF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84" w:type="dxa"/>
          </w:tcPr>
          <w:p w:rsidR="00552D09" w:rsidRPr="006D2FAD" w:rsidRDefault="00552D0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552D0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0B6629" w:rsidRPr="006D2FAD" w:rsidTr="0096171D">
        <w:trPr>
          <w:trHeight w:val="356"/>
        </w:trPr>
        <w:tc>
          <w:tcPr>
            <w:tcW w:w="8789" w:type="dxa"/>
            <w:vAlign w:val="bottom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93BA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0B6629" w:rsidRPr="006D2FAD" w:rsidTr="0096171D">
        <w:trPr>
          <w:trHeight w:val="20"/>
        </w:trPr>
        <w:tc>
          <w:tcPr>
            <w:tcW w:w="8789" w:type="dxa"/>
            <w:hideMark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F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284" w:type="dxa"/>
          </w:tcPr>
          <w:p w:rsidR="000B6629" w:rsidRPr="006D2F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D2FAD" w:rsidRDefault="006D2FA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2FAD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187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0B6629" w:rsidRPr="00686477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84" w:type="dxa"/>
          </w:tcPr>
          <w:p w:rsidR="000B6629" w:rsidRPr="00686477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686477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314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расходов областного бюджета на осуществление бюджетных инвестиций на 2021 год и </w:t>
            </w:r>
            <w:r w:rsidRPr="002416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 плановый период 2022</w:t>
            </w: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24167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2023 годов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 ОБЛАСТНОГО БЮДЖЕТА. ГОСУДАРСТВЕННЫЙ ДОЛГ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339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структуры государственного долга области, программ государственных заимствований. Соответствие предусмотренных проектом закона предельного объема государственного долга и расходов на его обслуживание установленным ограничениям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344</w:t>
            </w:r>
          </w:p>
        </w:tc>
      </w:tr>
      <w:tr w:rsidR="000B6629" w:rsidRPr="0024167D" w:rsidTr="0096171D">
        <w:trPr>
          <w:trHeight w:val="20"/>
        </w:trPr>
        <w:tc>
          <w:tcPr>
            <w:tcW w:w="8789" w:type="dxa"/>
            <w:hideMark/>
          </w:tcPr>
          <w:p w:rsidR="000B6629" w:rsidRPr="0024167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положений постановления «Об управлении государственным долгом Оренбургской области»</w:t>
            </w:r>
          </w:p>
        </w:tc>
        <w:tc>
          <w:tcPr>
            <w:tcW w:w="284" w:type="dxa"/>
          </w:tcPr>
          <w:p w:rsidR="000B6629" w:rsidRPr="0024167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0B6629" w:rsidRPr="0024167D" w:rsidRDefault="0024167D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167D">
              <w:rPr>
                <w:rFonts w:ascii="Times New Roman" w:eastAsia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583BDC" w:rsidRPr="0024167D" w:rsidTr="0096171D">
        <w:trPr>
          <w:trHeight w:val="20"/>
        </w:trPr>
        <w:tc>
          <w:tcPr>
            <w:tcW w:w="8789" w:type="dxa"/>
            <w:hideMark/>
          </w:tcPr>
          <w:p w:rsidR="00583BDC" w:rsidRPr="00D83200" w:rsidRDefault="00583BDC" w:rsidP="00583BD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3BD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государственных внутренних заимствований Оренбургской области на 2021 год и на плановый период 2022 и 2023 годов и государственных внешних заимствований Оренбургской области на 2021 год и на плановый период 2022 и 2023 годов</w:t>
            </w:r>
          </w:p>
          <w:p w:rsidR="00583BDC" w:rsidRPr="0024167D" w:rsidRDefault="00583BDC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583BDC" w:rsidRPr="0024167D" w:rsidRDefault="00583BDC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583BDC" w:rsidRPr="0024167D" w:rsidRDefault="00583BDC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348</w:t>
            </w:r>
          </w:p>
        </w:tc>
      </w:tr>
      <w:tr w:rsidR="000B6629" w:rsidRPr="007E39BF" w:rsidTr="0096171D">
        <w:trPr>
          <w:trHeight w:val="364"/>
        </w:trPr>
        <w:tc>
          <w:tcPr>
            <w:tcW w:w="8789" w:type="dxa"/>
          </w:tcPr>
          <w:p w:rsidR="000B6629" w:rsidRPr="007E39BF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9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1. </w:t>
            </w:r>
            <w:r w:rsidRPr="007E39BF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Сокращения, используемые в заключении</w:t>
            </w:r>
          </w:p>
        </w:tc>
        <w:tc>
          <w:tcPr>
            <w:tcW w:w="284" w:type="dxa"/>
          </w:tcPr>
          <w:p w:rsidR="000B6629" w:rsidRPr="007E39BF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7E39BF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7E39BF" w:rsidTr="0096171D">
        <w:trPr>
          <w:trHeight w:val="364"/>
        </w:trPr>
        <w:tc>
          <w:tcPr>
            <w:tcW w:w="8789" w:type="dxa"/>
          </w:tcPr>
          <w:p w:rsidR="000B6629" w:rsidRPr="007E39BF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E39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Темпы прироста (снижения)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доля доходов и расходов на 2021 год и на плановый период 2022 и 2023 годов</w:t>
            </w:r>
          </w:p>
        </w:tc>
        <w:tc>
          <w:tcPr>
            <w:tcW w:w="284" w:type="dxa"/>
          </w:tcPr>
          <w:p w:rsidR="000B6629" w:rsidRPr="007E39BF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7E39BF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649"/>
        </w:trPr>
        <w:tc>
          <w:tcPr>
            <w:tcW w:w="8789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</w:t>
            </w:r>
            <w:r w:rsidRPr="00CC3DAD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 xml:space="preserve"> </w:t>
            </w:r>
            <w:r w:rsidRPr="00CC3DAD">
              <w:rPr>
                <w:rFonts w:ascii="Times New Roman" w:eastAsia="Times New Roman" w:hAnsi="Times New Roman" w:cs="Times New Roman"/>
                <w:i/>
                <w:spacing w:val="9"/>
                <w:sz w:val="28"/>
                <w:szCs w:val="28"/>
              </w:rPr>
              <w:t>3.</w:t>
            </w:r>
            <w:r w:rsidRPr="00CC3DAD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</w:rPr>
              <w:t> Сравнительный а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нализ основных показателей Законопроекта на 2021 год и на плановый период 2022 и 2023 годов</w:t>
            </w:r>
          </w:p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4.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параметры областного бюджета на 2021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2023 годы в сравнении с 2020 годом </w:t>
            </w:r>
          </w:p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Приложение 5.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Показатели исполнения областного бюджета по доходам и расходам за 2017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2020 годы</w:t>
            </w:r>
          </w:p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Приложение 6.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Анализ налоговых и неналоговых доходов, предусмотренных законопроектом на 2021 год и на плановый период 2022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2023 годов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637"/>
        </w:trPr>
        <w:tc>
          <w:tcPr>
            <w:tcW w:w="8789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7.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по главным распорядителям средств областного бюджета и разделам расходов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617"/>
        </w:trPr>
        <w:tc>
          <w:tcPr>
            <w:tcW w:w="8789" w:type="dxa"/>
          </w:tcPr>
          <w:p w:rsidR="000B6629" w:rsidRPr="00CC3DA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8.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программных средств в общей сумме расходов областного бюджета за период 2020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2023 годы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537"/>
        </w:trPr>
        <w:tc>
          <w:tcPr>
            <w:tcW w:w="8789" w:type="dxa"/>
          </w:tcPr>
          <w:p w:rsidR="000B6629" w:rsidRPr="00CC3DA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9. 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объемов финансирования, предусмотренных на реализацию государственных программ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537"/>
        </w:trPr>
        <w:tc>
          <w:tcPr>
            <w:tcW w:w="8789" w:type="dxa"/>
          </w:tcPr>
          <w:p w:rsidR="000B6629" w:rsidRPr="00CC3DA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10. 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региональных проектов, реализуемых в 2020 году, планируемых к реализации в 2021 году, распределение бюджетных ассигнований по региональным проектам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537"/>
        </w:trPr>
        <w:tc>
          <w:tcPr>
            <w:tcW w:w="8789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11.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CC3D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Сравнительный анализ источников финансирования дефицита областного бюджета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629" w:rsidRPr="00CC3DAD" w:rsidTr="0096171D">
        <w:trPr>
          <w:trHeight w:val="537"/>
        </w:trPr>
        <w:tc>
          <w:tcPr>
            <w:tcW w:w="8789" w:type="dxa"/>
          </w:tcPr>
          <w:p w:rsidR="000B6629" w:rsidRPr="00CC3DAD" w:rsidRDefault="000B6629" w:rsidP="0037571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C3D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 12. </w:t>
            </w:r>
            <w:r w:rsidRPr="00CC3DA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верхнего предела государственного долга</w:t>
            </w:r>
          </w:p>
        </w:tc>
        <w:tc>
          <w:tcPr>
            <w:tcW w:w="284" w:type="dxa"/>
          </w:tcPr>
          <w:p w:rsidR="000B6629" w:rsidRPr="00CC3DAD" w:rsidRDefault="000B6629" w:rsidP="00375716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0B6629" w:rsidRPr="00CC3DAD" w:rsidRDefault="000B6629" w:rsidP="003757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B6B7B" w:rsidRDefault="00EB6B7B"/>
    <w:sectPr w:rsidR="00EB6B7B" w:rsidSect="001179D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629"/>
    <w:rsid w:val="000956C6"/>
    <w:rsid w:val="000B6629"/>
    <w:rsid w:val="001179D2"/>
    <w:rsid w:val="00172C49"/>
    <w:rsid w:val="0024167D"/>
    <w:rsid w:val="002528A4"/>
    <w:rsid w:val="002C753E"/>
    <w:rsid w:val="00393BAF"/>
    <w:rsid w:val="00552D09"/>
    <w:rsid w:val="00583BDC"/>
    <w:rsid w:val="006D2FAD"/>
    <w:rsid w:val="0096171D"/>
    <w:rsid w:val="00B977DB"/>
    <w:rsid w:val="00CD36B1"/>
    <w:rsid w:val="00D20BA0"/>
    <w:rsid w:val="00D764E8"/>
    <w:rsid w:val="00EB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11</cp:revision>
  <cp:lastPrinted>2020-11-18T09:45:00Z</cp:lastPrinted>
  <dcterms:created xsi:type="dcterms:W3CDTF">2020-11-16T10:52:00Z</dcterms:created>
  <dcterms:modified xsi:type="dcterms:W3CDTF">2020-11-18T09:46:00Z</dcterms:modified>
</cp:coreProperties>
</file>